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B7" w:rsidRPr="000A6EB7" w:rsidRDefault="000A6EB7" w:rsidP="000A6EB7">
      <w:r w:rsidRPr="000A6EB7">
        <w:t>Le jeu de données mis à disposition agrège des données issues de différentes origines, retravaillées pas l’ADEME. Il veut permettre</w:t>
      </w:r>
      <w:r>
        <w:t xml:space="preserve"> l</w:t>
      </w:r>
      <w:r w:rsidRPr="000A6EB7">
        <w:t xml:space="preserve">’émergence de nouvelles applications qui encouragerons l’acquisition de véhicules les moins </w:t>
      </w:r>
      <w:r w:rsidR="004A7BBD" w:rsidRPr="000A6EB7">
        <w:t>impactant</w:t>
      </w:r>
      <w:r w:rsidRPr="000A6EB7">
        <w:t xml:space="preserve"> ou des analyses complémentaires pour éclairer les décideurs et acquéreurs. </w:t>
      </w:r>
    </w:p>
    <w:p w:rsidR="000A6EB7" w:rsidRDefault="000A6EB7" w:rsidP="000A6EB7">
      <w:pPr>
        <w:rPr>
          <w:i/>
          <w:iCs/>
          <w:color w:val="1F497D"/>
        </w:rPr>
      </w:pPr>
    </w:p>
    <w:p w:rsidR="000A6EB7" w:rsidRDefault="000A6EB7"/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4A7BBD" w:rsidRPr="00CC119A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CC119A" w:rsidRDefault="004A7BBD" w:rsidP="00711611">
            <w:pPr>
              <w:rPr>
                <w:b/>
              </w:rPr>
            </w:pPr>
            <w:r w:rsidRPr="00CC119A">
              <w:rPr>
                <w:b/>
              </w:rPr>
              <w:t xml:space="preserve">Nom de variable </w:t>
            </w:r>
          </w:p>
        </w:tc>
        <w:tc>
          <w:tcPr>
            <w:tcW w:w="6095" w:type="dxa"/>
            <w:noWrap/>
            <w:hideMark/>
          </w:tcPr>
          <w:p w:rsidR="004A7BBD" w:rsidRPr="00CC119A" w:rsidRDefault="004A7BBD" w:rsidP="00711611">
            <w:pPr>
              <w:rPr>
                <w:b/>
              </w:rPr>
            </w:pPr>
            <w:r w:rsidRPr="00CC119A">
              <w:rPr>
                <w:b/>
              </w:rPr>
              <w:t>Description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Marque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Marque du véhicule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Libellé modèle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>
              <w:t>Libellé du modèle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Modèle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Modèle du véhicule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Groupe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Groupe industriel du véhicule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CC119A" w:rsidP="00711611">
            <w:bookmarkStart w:id="0" w:name="_GoBack"/>
            <w:r>
              <w:t xml:space="preserve">Description </w:t>
            </w:r>
            <w:r w:rsidR="004A7BBD" w:rsidRPr="008447C2">
              <w:t>Commerciale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Description commerciale du véhicule</w:t>
            </w:r>
          </w:p>
        </w:tc>
      </w:tr>
      <w:bookmarkEnd w:id="0"/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A13BE6" w:rsidP="00711611">
            <w:r>
              <w:t>É</w:t>
            </w:r>
            <w:r w:rsidRPr="008447C2">
              <w:t>nergie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Type d'énergie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Carrosserie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Type de carrosserie</w:t>
            </w:r>
          </w:p>
        </w:tc>
      </w:tr>
      <w:tr w:rsidR="002A5718" w:rsidRPr="008447C2" w:rsidTr="00A13BE6">
        <w:trPr>
          <w:trHeight w:val="288"/>
        </w:trPr>
        <w:tc>
          <w:tcPr>
            <w:tcW w:w="3828" w:type="dxa"/>
            <w:noWrap/>
          </w:tcPr>
          <w:p w:rsidR="002A5718" w:rsidRPr="008447C2" w:rsidRDefault="002A5718" w:rsidP="00711611">
            <w:r>
              <w:t>Cylindrée</w:t>
            </w:r>
          </w:p>
        </w:tc>
        <w:tc>
          <w:tcPr>
            <w:tcW w:w="6095" w:type="dxa"/>
            <w:noWrap/>
          </w:tcPr>
          <w:p w:rsidR="002A5718" w:rsidRPr="008447C2" w:rsidRDefault="002A5718" w:rsidP="00711611">
            <w:r>
              <w:t>Cylindrée du véhicule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Gamme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Type de gamme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8447C2">
              <w:t>Puissance fiscale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Puissance en CV fiscaux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>
              <w:t xml:space="preserve">Puissance </w:t>
            </w:r>
            <w:r w:rsidRPr="008447C2">
              <w:t>maximale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3C6E63">
            <w:r w:rsidRPr="008447C2">
              <w:t xml:space="preserve">Puissance en </w:t>
            </w:r>
            <w:r w:rsidR="003C6E63">
              <w:t>kW</w:t>
            </w:r>
          </w:p>
        </w:tc>
      </w:tr>
      <w:tr w:rsidR="00DD54D2" w:rsidRPr="008447C2" w:rsidTr="00A13BE6">
        <w:trPr>
          <w:trHeight w:val="288"/>
        </w:trPr>
        <w:tc>
          <w:tcPr>
            <w:tcW w:w="3828" w:type="dxa"/>
            <w:noWrap/>
          </w:tcPr>
          <w:p w:rsidR="00DD54D2" w:rsidRDefault="00DD54D2" w:rsidP="006117EA">
            <w:r w:rsidRPr="00DD54D2">
              <w:t>Puissance nominale électrique</w:t>
            </w:r>
          </w:p>
        </w:tc>
        <w:tc>
          <w:tcPr>
            <w:tcW w:w="6095" w:type="dxa"/>
            <w:noWrap/>
          </w:tcPr>
          <w:p w:rsidR="00DD54D2" w:rsidRPr="00DD54D2" w:rsidRDefault="00DD54D2" w:rsidP="00A13BE6">
            <w:r>
              <w:t>P</w:t>
            </w:r>
            <w:r w:rsidRPr="00DD54D2">
              <w:t>uissance nominale du moteur électrique, exprimé</w:t>
            </w:r>
            <w:r w:rsidR="00A13BE6">
              <w:t>e en kW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6117EA">
            <w:r>
              <w:t>Poids à v</w:t>
            </w:r>
            <w:r w:rsidRPr="008447C2">
              <w:t>ide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En Kg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>
              <w:t xml:space="preserve">Rapport </w:t>
            </w:r>
            <w:r w:rsidRPr="008447C2">
              <w:t>poids-puissance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CC119A" w:rsidP="00CC119A">
            <w:r>
              <w:t>Rapport «</w:t>
            </w:r>
            <w:r>
              <w:rPr>
                <w:rFonts w:ascii="Calibri" w:hAnsi="Calibri" w:cs="Calibri"/>
              </w:rPr>
              <w:t> </w:t>
            </w:r>
            <w:r>
              <w:t xml:space="preserve">Puissance </w:t>
            </w:r>
            <w:r w:rsidRPr="008447C2">
              <w:t>maximale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Marianne"/>
              </w:rPr>
              <w:t>»</w:t>
            </w:r>
            <w:r w:rsidRPr="008447C2">
              <w:t xml:space="preserve"> </w:t>
            </w:r>
            <w:r w:rsidR="004A7BBD" w:rsidRPr="008447C2">
              <w:t xml:space="preserve">/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>
              <w:t xml:space="preserve">Poids à </w:t>
            </w:r>
            <w:r w:rsidR="004A7BBD" w:rsidRPr="008447C2">
              <w:t>vide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Marianne"/>
              </w:rPr>
              <w:t>»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 w:rsidRPr="006117EA">
              <w:t>Type de boite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 xml:space="preserve">Type de boite de vitesse 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4A7BBD" w:rsidP="00711611">
            <w:r>
              <w:t xml:space="preserve">Nombre </w:t>
            </w:r>
            <w:r w:rsidRPr="008447C2">
              <w:t>rapports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Nombre de rapports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11611">
            <w:r>
              <w:t>Conso basse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basse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basse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basse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moyenne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 moyenne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moyenne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moyenne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haute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haute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haute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haute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Thaute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très haute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Thaute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phase très haute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vitesse mixte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mixte combinée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Conso vitesse mixte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mixte combinée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945BFF">
            <w:r>
              <w:t xml:space="preserve">Conso </w:t>
            </w:r>
            <w:r w:rsidR="00945BFF">
              <w:t>e</w:t>
            </w:r>
            <w:r>
              <w:t>lec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 xml:space="preserve">Consommation énergie électrique - minimum 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Conso e</w:t>
            </w:r>
            <w:r w:rsidR="007C5310">
              <w:t>lec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Consommation énergie électrique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Autonomie e</w:t>
            </w:r>
            <w:r w:rsidR="007C5310">
              <w:t>lec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Autonomie en mode électrique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lastRenderedPageBreak/>
              <w:t>Autonomie e</w:t>
            </w:r>
            <w:r w:rsidR="007C5310">
              <w:t>lec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Autonomie en mode électrique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Autonomie e</w:t>
            </w:r>
            <w:r w:rsidR="007C5310">
              <w:t>lec urbain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Autonomie en mode électrique en ville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C5310">
            <w:r>
              <w:t>Autonomie e</w:t>
            </w:r>
            <w:r w:rsidR="007C5310">
              <w:t>lec urbain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Autonomie en mode électrique en ville</w:t>
            </w:r>
            <w:r w:rsidRPr="008447C2">
              <w:rPr>
                <w:rFonts w:ascii="Calibri" w:hAnsi="Calibri" w:cs="Calibri"/>
              </w:rPr>
              <w:t> </w:t>
            </w:r>
            <w:r w:rsidRPr="008447C2">
              <w:t>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11611">
            <w:r>
              <w:t>CO2 basse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basse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basse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basse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moyenne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 moyenne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moyenne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moyenne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haute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haute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haute vitesse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haute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11611">
            <w:r>
              <w:t>CO2 Thaute vitesse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très haute vitesse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11611">
            <w:r>
              <w:t xml:space="preserve">CO2 Thaute vitesse </w:t>
            </w:r>
            <w:r w:rsidR="000962C4">
              <w:t>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phase très haute vitesse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vitesse mixte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mixte combiné - minimum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7C5310" w:rsidP="007C5310">
            <w:r>
              <w:t>CO2 vitesse mixte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CO2 mixte combiné - maximum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 xml:space="preserve">Essai </w:t>
            </w:r>
            <w:r w:rsidR="007C5310">
              <w:t>CO2 type 1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Résultat d’essai de CO type I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 xml:space="preserve">Essai </w:t>
            </w:r>
            <w:r w:rsidR="004A7BBD" w:rsidRPr="008447C2">
              <w:t>HC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Résultat d’essai Hydrocarbure imbrulées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 xml:space="preserve">Essai </w:t>
            </w:r>
            <w:r w:rsidR="004A7BBD" w:rsidRPr="008447C2">
              <w:t>Nox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Résultat d’essai Émissions</w:t>
            </w:r>
            <w:r w:rsidRPr="008447C2">
              <w:rPr>
                <w:rFonts w:ascii="Calibri" w:hAnsi="Calibri" w:cs="Calibri"/>
              </w:rPr>
              <w:t> </w:t>
            </w:r>
            <w:r w:rsidRPr="008447C2">
              <w:t>d'oxydes d'azote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 xml:space="preserve">Essai </w:t>
            </w:r>
            <w:r w:rsidR="004A7BBD" w:rsidRPr="008447C2">
              <w:t>HCNox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Résultat d’essai HC+NOX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945BFF">
            <w:r>
              <w:t>Essai particules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Résultat d'essai Particules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Masse OM Min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Masse en ordre de marche mini (en Kg)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Masse OM Max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Masse en ordre de marche maxi (en Kg)</w:t>
            </w:r>
          </w:p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Bonus-</w:t>
            </w:r>
            <w:r w:rsidRPr="008447C2">
              <w:t>Malus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/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Barème Bonus-Malus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/>
        </w:tc>
      </w:tr>
      <w:tr w:rsidR="004A7BBD" w:rsidRPr="008447C2" w:rsidTr="00A13BE6">
        <w:trPr>
          <w:trHeight w:val="288"/>
        </w:trPr>
        <w:tc>
          <w:tcPr>
            <w:tcW w:w="3828" w:type="dxa"/>
            <w:noWrap/>
            <w:hideMark/>
          </w:tcPr>
          <w:p w:rsidR="004A7BBD" w:rsidRPr="008447C2" w:rsidRDefault="00945BFF" w:rsidP="00711611">
            <w:r>
              <w:t>Prix v</w:t>
            </w:r>
            <w:r w:rsidR="004A7BBD" w:rsidRPr="008447C2">
              <w:t>éhicule</w:t>
            </w:r>
          </w:p>
        </w:tc>
        <w:tc>
          <w:tcPr>
            <w:tcW w:w="6095" w:type="dxa"/>
            <w:noWrap/>
            <w:hideMark/>
          </w:tcPr>
          <w:p w:rsidR="004A7BBD" w:rsidRPr="008447C2" w:rsidRDefault="004A7BBD" w:rsidP="00711611">
            <w:r w:rsidRPr="008447C2">
              <w:t>en euros</w:t>
            </w:r>
            <w:r w:rsidR="000962C4">
              <w:t xml:space="preserve"> (si disponible)</w:t>
            </w:r>
          </w:p>
        </w:tc>
      </w:tr>
    </w:tbl>
    <w:p w:rsidR="00E6023F" w:rsidRDefault="00E6023F" w:rsidP="00E6023F">
      <w:pPr>
        <w:rPr>
          <w:noProof/>
        </w:rPr>
      </w:pPr>
    </w:p>
    <w:p w:rsidR="00873F52" w:rsidRDefault="00873F52" w:rsidP="00E6023F">
      <w:pPr>
        <w:rPr>
          <w:noProof/>
        </w:rPr>
      </w:pPr>
    </w:p>
    <w:p w:rsidR="008F18BD" w:rsidRDefault="008F18BD" w:rsidP="001732E3">
      <w:pPr>
        <w:rPr>
          <w:noProof/>
        </w:rPr>
      </w:pPr>
    </w:p>
    <w:sectPr w:rsidR="008F18BD" w:rsidSect="001B5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14" w:rsidRDefault="008B2114" w:rsidP="00415057">
      <w:r>
        <w:separator/>
      </w:r>
    </w:p>
  </w:endnote>
  <w:endnote w:type="continuationSeparator" w:id="0">
    <w:p w:rsidR="008B2114" w:rsidRDefault="008B2114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34" w:rsidRDefault="006F63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911"/>
      <w:gridCol w:w="4519"/>
      <w:gridCol w:w="6"/>
      <w:gridCol w:w="6"/>
    </w:tblGrid>
    <w:tr w:rsidR="006117EA" w:rsidTr="006117EA">
      <w:tc>
        <w:tcPr>
          <w:tcW w:w="9966" w:type="dxa"/>
          <w:gridSpan w:val="3"/>
          <w:vAlign w:val="bottom"/>
        </w:tcPr>
        <w:tbl>
          <w:tblPr>
            <w:tblStyle w:val="Grilledutableau"/>
            <w:tblW w:w="10060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075"/>
            <w:gridCol w:w="1985"/>
          </w:tblGrid>
          <w:tr w:rsidR="006117EA" w:rsidTr="00711611">
            <w:tc>
              <w:tcPr>
                <w:tcW w:w="8075" w:type="dxa"/>
              </w:tcPr>
              <w:p w:rsidR="006117EA" w:rsidRDefault="006117EA" w:rsidP="006117EA">
                <w:pPr>
                  <w:pStyle w:val="Pieddepage"/>
                  <w:spacing w:before="0"/>
                </w:pPr>
                <w:r>
                  <w:t xml:space="preserve">ADEME – SG – Administration des données – </w:t>
                </w:r>
                <w:r w:rsidR="006F6334">
                  <w:t>Mars</w:t>
                </w:r>
                <w:r>
                  <w:t xml:space="preserve"> 2021</w:t>
                </w:r>
              </w:p>
              <w:p w:rsidR="006117EA" w:rsidRDefault="006117EA" w:rsidP="006117EA">
                <w:pPr>
                  <w:pStyle w:val="Pieddepage"/>
                  <w:spacing w:before="0"/>
                </w:pPr>
              </w:p>
            </w:tc>
            <w:tc>
              <w:tcPr>
                <w:tcW w:w="1985" w:type="dxa"/>
              </w:tcPr>
              <w:p w:rsidR="006117EA" w:rsidRDefault="006117EA" w:rsidP="006117EA">
                <w:pPr>
                  <w:pStyle w:val="Pieddepage"/>
                  <w:spacing w:before="0"/>
                  <w:jc w:val="righ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C6E63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</w:t>
                </w:r>
                <w:r w:rsidR="008B2114">
                  <w:fldChar w:fldCharType="begin"/>
                </w:r>
                <w:r w:rsidR="008B2114">
                  <w:instrText xml:space="preserve"> NUMPAGES   \* MERGEFORMAT </w:instrText>
                </w:r>
                <w:r w:rsidR="008B2114">
                  <w:fldChar w:fldCharType="separate"/>
                </w:r>
                <w:r w:rsidR="003C6E63">
                  <w:rPr>
                    <w:noProof/>
                  </w:rPr>
                  <w:t>2</w:t>
                </w:r>
                <w:r w:rsidR="008B2114">
                  <w:rPr>
                    <w:noProof/>
                  </w:rPr>
                  <w:fldChar w:fldCharType="end"/>
                </w:r>
              </w:p>
            </w:tc>
          </w:tr>
        </w:tbl>
        <w:p w:rsidR="006117EA" w:rsidRPr="00415057" w:rsidRDefault="006117EA" w:rsidP="006117EA">
          <w:pPr>
            <w:pStyle w:val="Pieddepage"/>
            <w:spacing w:before="0"/>
          </w:pPr>
        </w:p>
      </w:tc>
      <w:tc>
        <w:tcPr>
          <w:tcW w:w="6" w:type="dxa"/>
          <w:vAlign w:val="bottom"/>
        </w:tcPr>
        <w:p w:rsidR="006117EA" w:rsidRDefault="006117EA" w:rsidP="006117EA">
          <w:pPr>
            <w:pStyle w:val="Pieddepage"/>
            <w:spacing w:before="0"/>
            <w:jc w:val="center"/>
          </w:pPr>
        </w:p>
      </w:tc>
      <w:tc>
        <w:tcPr>
          <w:tcW w:w="6" w:type="dxa"/>
          <w:vAlign w:val="bottom"/>
        </w:tcPr>
        <w:p w:rsidR="006117EA" w:rsidRDefault="006117EA" w:rsidP="006117EA">
          <w:pPr>
            <w:pStyle w:val="Pieddepage"/>
            <w:spacing w:before="0"/>
            <w:jc w:val="right"/>
          </w:pPr>
        </w:p>
      </w:tc>
    </w:tr>
    <w:tr w:rsidR="00873F52" w:rsidTr="006117EA">
      <w:tc>
        <w:tcPr>
          <w:tcW w:w="4535" w:type="dxa"/>
          <w:vAlign w:val="bottom"/>
        </w:tcPr>
        <w:p w:rsidR="004A7BBD" w:rsidRPr="00415057" w:rsidRDefault="004A7BBD" w:rsidP="004A7BBD">
          <w:pPr>
            <w:pStyle w:val="Pieddepage"/>
            <w:spacing w:before="0"/>
          </w:pPr>
        </w:p>
      </w:tc>
      <w:tc>
        <w:tcPr>
          <w:tcW w:w="907" w:type="dxa"/>
          <w:vAlign w:val="bottom"/>
        </w:tcPr>
        <w:p w:rsidR="00873F52" w:rsidRDefault="00873F52" w:rsidP="004A7BBD">
          <w:pPr>
            <w:pStyle w:val="Pieddepage"/>
            <w:spacing w:before="0"/>
            <w:jc w:val="center"/>
          </w:pPr>
        </w:p>
      </w:tc>
      <w:tc>
        <w:tcPr>
          <w:tcW w:w="4535" w:type="dxa"/>
          <w:gridSpan w:val="3"/>
          <w:vAlign w:val="bottom"/>
        </w:tcPr>
        <w:p w:rsidR="00873F52" w:rsidRDefault="00873F52" w:rsidP="004A7BBD">
          <w:pPr>
            <w:pStyle w:val="Pieddepage"/>
            <w:spacing w:before="0"/>
            <w:jc w:val="right"/>
          </w:pPr>
        </w:p>
      </w:tc>
    </w:tr>
  </w:tbl>
  <w:p w:rsidR="00873F52" w:rsidRPr="00873F52" w:rsidRDefault="00873F52" w:rsidP="00873F52">
    <w:pPr>
      <w:pStyle w:val="Pieddepageca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66"/>
      <w:gridCol w:w="6"/>
      <w:gridCol w:w="6"/>
    </w:tblGrid>
    <w:tr w:rsidR="00873F52" w:rsidTr="00255D71">
      <w:tc>
        <w:tcPr>
          <w:tcW w:w="4535" w:type="dxa"/>
          <w:vAlign w:val="bottom"/>
        </w:tcPr>
        <w:tbl>
          <w:tblPr>
            <w:tblStyle w:val="Grilledutableau"/>
            <w:tblW w:w="10060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075"/>
            <w:gridCol w:w="1985"/>
          </w:tblGrid>
          <w:tr w:rsidR="000A6EB7" w:rsidTr="00255D71">
            <w:tc>
              <w:tcPr>
                <w:tcW w:w="8075" w:type="dxa"/>
              </w:tcPr>
              <w:p w:rsidR="000A6EB7" w:rsidRDefault="00255D71" w:rsidP="00255D71">
                <w:pPr>
                  <w:pStyle w:val="Pieddepage"/>
                  <w:spacing w:before="0"/>
                </w:pPr>
                <w:r>
                  <w:t xml:space="preserve">ADEME – SG – Administration des données – </w:t>
                </w:r>
                <w:r w:rsidR="006F6334">
                  <w:t>Mars</w:t>
                </w:r>
                <w:r>
                  <w:t xml:space="preserve"> 2021</w:t>
                </w:r>
              </w:p>
              <w:p w:rsidR="00255D71" w:rsidRDefault="00255D71" w:rsidP="00255D71">
                <w:pPr>
                  <w:pStyle w:val="Pieddepage"/>
                  <w:spacing w:before="0"/>
                </w:pPr>
              </w:p>
            </w:tc>
            <w:tc>
              <w:tcPr>
                <w:tcW w:w="1985" w:type="dxa"/>
              </w:tcPr>
              <w:p w:rsidR="000A6EB7" w:rsidRDefault="000A6EB7" w:rsidP="00255D71">
                <w:pPr>
                  <w:pStyle w:val="Pieddepage"/>
                  <w:spacing w:before="0"/>
                  <w:jc w:val="righ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B211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</w:t>
                </w:r>
                <w:r w:rsidR="008B2114">
                  <w:fldChar w:fldCharType="begin"/>
                </w:r>
                <w:r w:rsidR="008B2114">
                  <w:instrText xml:space="preserve"> NUMPAGES   \* MERGEFORMAT </w:instrText>
                </w:r>
                <w:r w:rsidR="008B2114">
                  <w:fldChar w:fldCharType="separate"/>
                </w:r>
                <w:r w:rsidR="008B2114">
                  <w:rPr>
                    <w:noProof/>
                  </w:rPr>
                  <w:t>1</w:t>
                </w:r>
                <w:r w:rsidR="008B2114">
                  <w:rPr>
                    <w:noProof/>
                  </w:rPr>
                  <w:fldChar w:fldCharType="end"/>
                </w:r>
              </w:p>
            </w:tc>
          </w:tr>
        </w:tbl>
        <w:p w:rsidR="00873F52" w:rsidRPr="00415057" w:rsidRDefault="00873F52" w:rsidP="00255D71">
          <w:pPr>
            <w:pStyle w:val="Pieddepage"/>
            <w:spacing w:before="0"/>
          </w:pPr>
        </w:p>
      </w:tc>
      <w:tc>
        <w:tcPr>
          <w:tcW w:w="907" w:type="dxa"/>
          <w:vAlign w:val="bottom"/>
        </w:tcPr>
        <w:p w:rsidR="00873F52" w:rsidRDefault="00873F52" w:rsidP="00255D71">
          <w:pPr>
            <w:pStyle w:val="Pieddepage"/>
            <w:spacing w:before="0"/>
            <w:jc w:val="center"/>
          </w:pPr>
        </w:p>
      </w:tc>
      <w:tc>
        <w:tcPr>
          <w:tcW w:w="4535" w:type="dxa"/>
          <w:vAlign w:val="bottom"/>
        </w:tcPr>
        <w:p w:rsidR="00873F52" w:rsidRDefault="00873F52" w:rsidP="00255D71">
          <w:pPr>
            <w:pStyle w:val="Pieddepage"/>
            <w:spacing w:before="0"/>
            <w:jc w:val="right"/>
          </w:pPr>
        </w:p>
      </w:tc>
    </w:tr>
  </w:tbl>
  <w:p w:rsidR="008A037A" w:rsidRPr="00873F52" w:rsidRDefault="008A037A" w:rsidP="00873F52">
    <w:pPr>
      <w:pStyle w:val="Pieddepageca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14" w:rsidRDefault="008B2114" w:rsidP="00415057">
      <w:r>
        <w:separator/>
      </w:r>
    </w:p>
  </w:footnote>
  <w:footnote w:type="continuationSeparator" w:id="0">
    <w:p w:rsidR="008B2114" w:rsidRDefault="008B2114" w:rsidP="004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34" w:rsidRDefault="006F63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34" w:rsidRDefault="006F63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A" w:rsidRPr="000A6EB7" w:rsidRDefault="008A037A" w:rsidP="00873F52">
    <w:pPr>
      <w:pStyle w:val="CaleGarde"/>
      <w:rPr>
        <w:caps w:val="0"/>
        <w:smallCaps/>
        <w:sz w:val="36"/>
      </w:rPr>
    </w:pPr>
    <w:r w:rsidRPr="000A6EB7">
      <w:rPr>
        <w:caps w:val="0"/>
        <w:smallCaps/>
        <w:sz w:val="36"/>
        <w:lang w:eastAsia="fr-FR"/>
      </w:rPr>
      <w:drawing>
        <wp:anchor distT="0" distB="0" distL="114300" distR="114300" simplePos="0" relativeHeight="251659264" behindDoc="1" locked="0" layoutInCell="1" allowOverlap="1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EB7" w:rsidRPr="000A6EB7">
      <w:rPr>
        <w:caps w:val="0"/>
        <w:smallCaps/>
        <w:sz w:val="36"/>
      </w:rPr>
      <w:t>Lexique des données CarLabelling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0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F"/>
    <w:rsid w:val="0000150A"/>
    <w:rsid w:val="00084822"/>
    <w:rsid w:val="00094ED2"/>
    <w:rsid w:val="000962C4"/>
    <w:rsid w:val="000A6EB7"/>
    <w:rsid w:val="000F3512"/>
    <w:rsid w:val="000F76C1"/>
    <w:rsid w:val="00135FC1"/>
    <w:rsid w:val="00141AF9"/>
    <w:rsid w:val="001549EE"/>
    <w:rsid w:val="001732E3"/>
    <w:rsid w:val="00173F6E"/>
    <w:rsid w:val="00176F13"/>
    <w:rsid w:val="00197C97"/>
    <w:rsid w:val="001B24F5"/>
    <w:rsid w:val="001B5DDA"/>
    <w:rsid w:val="001F63EE"/>
    <w:rsid w:val="00255D71"/>
    <w:rsid w:val="00256FD2"/>
    <w:rsid w:val="002A5718"/>
    <w:rsid w:val="002F10EE"/>
    <w:rsid w:val="002F2E5C"/>
    <w:rsid w:val="002F54D0"/>
    <w:rsid w:val="00320A26"/>
    <w:rsid w:val="00322EB1"/>
    <w:rsid w:val="00341E2F"/>
    <w:rsid w:val="003466EB"/>
    <w:rsid w:val="00362057"/>
    <w:rsid w:val="003C6E63"/>
    <w:rsid w:val="00415057"/>
    <w:rsid w:val="00415341"/>
    <w:rsid w:val="00484701"/>
    <w:rsid w:val="004A7BBD"/>
    <w:rsid w:val="004B4976"/>
    <w:rsid w:val="00510277"/>
    <w:rsid w:val="006117EA"/>
    <w:rsid w:val="00616858"/>
    <w:rsid w:val="00633DF8"/>
    <w:rsid w:val="00647CF0"/>
    <w:rsid w:val="00691D68"/>
    <w:rsid w:val="006F6334"/>
    <w:rsid w:val="00797B89"/>
    <w:rsid w:val="007A2077"/>
    <w:rsid w:val="007C5310"/>
    <w:rsid w:val="007C707B"/>
    <w:rsid w:val="007F50D3"/>
    <w:rsid w:val="00873F52"/>
    <w:rsid w:val="008A037A"/>
    <w:rsid w:val="008B2114"/>
    <w:rsid w:val="008F18BD"/>
    <w:rsid w:val="00916236"/>
    <w:rsid w:val="00945BFF"/>
    <w:rsid w:val="00972B5A"/>
    <w:rsid w:val="009B0872"/>
    <w:rsid w:val="00A13BE6"/>
    <w:rsid w:val="00A6231A"/>
    <w:rsid w:val="00A71DCE"/>
    <w:rsid w:val="00B44D91"/>
    <w:rsid w:val="00B749C0"/>
    <w:rsid w:val="00BA1931"/>
    <w:rsid w:val="00C26572"/>
    <w:rsid w:val="00C35D14"/>
    <w:rsid w:val="00CC119A"/>
    <w:rsid w:val="00D94352"/>
    <w:rsid w:val="00DA3C60"/>
    <w:rsid w:val="00DD2794"/>
    <w:rsid w:val="00DD54D2"/>
    <w:rsid w:val="00E2475A"/>
    <w:rsid w:val="00E522B4"/>
    <w:rsid w:val="00E6023F"/>
    <w:rsid w:val="00E8428F"/>
    <w:rsid w:val="00E91A34"/>
    <w:rsid w:val="00EA53FF"/>
    <w:rsid w:val="00F13F93"/>
    <w:rsid w:val="00F56FBC"/>
    <w:rsid w:val="00F8727F"/>
    <w:rsid w:val="00F92095"/>
    <w:rsid w:val="00FA3C0C"/>
    <w:rsid w:val="00FB6A1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5C53D"/>
  <w15:chartTrackingRefBased/>
  <w15:docId w15:val="{761A8FCF-E6FB-475A-A435-7AB61DC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62057"/>
    <w:pPr>
      <w:spacing w:after="0" w:line="23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F18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2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2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Emphase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2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table" w:styleId="TableauGrille4-Accentuation1">
    <w:name w:val="Grid Table 4 Accent 1"/>
    <w:basedOn w:val="TableauNormal"/>
    <w:uiPriority w:val="49"/>
    <w:rsid w:val="000A6EB7"/>
    <w:pPr>
      <w:spacing w:after="0" w:line="240" w:lineRule="auto"/>
    </w:pPr>
    <w:tblPr>
      <w:tblStyleRowBandSize w:val="1"/>
      <w:tblStyleColBandSize w:val="1"/>
      <w:tblBorders>
        <w:top w:val="single" w:sz="4" w:space="0" w:color="FF545F" w:themeColor="accent1" w:themeTint="99"/>
        <w:left w:val="single" w:sz="4" w:space="0" w:color="FF545F" w:themeColor="accent1" w:themeTint="99"/>
        <w:bottom w:val="single" w:sz="4" w:space="0" w:color="FF545F" w:themeColor="accent1" w:themeTint="99"/>
        <w:right w:val="single" w:sz="4" w:space="0" w:color="FF545F" w:themeColor="accent1" w:themeTint="99"/>
        <w:insideH w:val="single" w:sz="4" w:space="0" w:color="FF545F" w:themeColor="accent1" w:themeTint="99"/>
        <w:insideV w:val="single" w:sz="4" w:space="0" w:color="FF54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000F" w:themeColor="accent1"/>
          <w:left w:val="single" w:sz="4" w:space="0" w:color="E1000F" w:themeColor="accent1"/>
          <w:bottom w:val="single" w:sz="4" w:space="0" w:color="E1000F" w:themeColor="accent1"/>
          <w:right w:val="single" w:sz="4" w:space="0" w:color="E1000F" w:themeColor="accent1"/>
          <w:insideH w:val="nil"/>
          <w:insideV w:val="nil"/>
        </w:tcBorders>
        <w:shd w:val="clear" w:color="auto" w:fill="E1000F" w:themeFill="accent1"/>
      </w:tcPr>
    </w:tblStylePr>
    <w:tblStylePr w:type="lastRow">
      <w:rPr>
        <w:b/>
        <w:bCs/>
      </w:rPr>
      <w:tblPr/>
      <w:tcPr>
        <w:tcBorders>
          <w:top w:val="double" w:sz="4" w:space="0" w:color="E10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NOTE.dotx" TargetMode="External"/></Relationship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Modele-ADEM-NOTE.dotx</Template>
  <TotalTime>5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MORICE</dc:creator>
  <cp:keywords/>
  <dc:description/>
  <cp:lastModifiedBy>Laurent MORICE</cp:lastModifiedBy>
  <cp:revision>6</cp:revision>
  <dcterms:created xsi:type="dcterms:W3CDTF">2021-02-18T10:34:00Z</dcterms:created>
  <dcterms:modified xsi:type="dcterms:W3CDTF">2021-07-19T06:37:00Z</dcterms:modified>
</cp:coreProperties>
</file>